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8B1A99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A24207" w:rsidRPr="00D77942" w:rsidRDefault="00A24207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A24207" w:rsidRPr="00D77942" w:rsidRDefault="00A24207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02166E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02166E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221C10">
              <w:rPr>
                <w:rFonts w:asciiTheme="minorHAnsi" w:hAnsiTheme="minorHAnsi" w:cstheme="minorHAnsi"/>
                <w:sz w:val="22"/>
              </w:rPr>
              <w:t>October 20,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02166E">
              <w:rPr>
                <w:rFonts w:asciiTheme="minorHAnsi" w:hAnsiTheme="minorHAnsi" w:cstheme="minorHAnsi"/>
                <w:sz w:val="22"/>
              </w:rPr>
              <w:t>Novel Study Summary Groups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21C10">
              <w:rPr>
                <w:rFonts w:asciiTheme="minorHAnsi" w:hAnsiTheme="minorHAnsi" w:cstheme="minorHAnsi"/>
                <w:sz w:val="22"/>
              </w:rPr>
              <w:t>40-45 min.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02166E">
              <w:rPr>
                <w:rFonts w:asciiTheme="minorHAnsi" w:hAnsiTheme="minorHAnsi" w:cstheme="minorHAnsi"/>
                <w:sz w:val="22"/>
              </w:rPr>
              <w:t>Sandra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221C10">
              <w:rPr>
                <w:rFonts w:asciiTheme="minorHAnsi" w:hAnsiTheme="minorHAnsi" w:cstheme="minorHAnsi"/>
                <w:sz w:val="22"/>
              </w:rPr>
              <w:t>211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C368F">
              <w:trPr>
                <w:trHeight w:val="990"/>
              </w:trPr>
              <w:tc>
                <w:tcPr>
                  <w:tcW w:w="9841" w:type="dxa"/>
                </w:tcPr>
                <w:p w:rsidR="00046576" w:rsidRDefault="00221C10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1.7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Analyze a variety of complex or challenging texts in order to identify the strategies that have been used to inform, persuade, or entertain, and evaluate the effectiveness of those strategies. (pg. 139)</w:t>
                  </w:r>
                </w:p>
                <w:p w:rsidR="00221C10" w:rsidRPr="00221C10" w:rsidRDefault="00221C10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2.7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make revisions to improve the content, clarity, and interest of their written work, using a variety of strategies (pg.  145)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03152B" w:rsidRDefault="00E42098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Understand</w:t>
                  </w:r>
                  <w:r w:rsidR="009E6CA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the mistakes on their quizzes and make corrections</w:t>
                  </w:r>
                </w:p>
                <w:p w:rsidR="00483405" w:rsidRDefault="00483405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Copy a note about conflict and its four types</w:t>
                  </w:r>
                </w:p>
                <w:p w:rsidR="00483405" w:rsidRDefault="00483405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Have a brief understanding of the four types of conflict</w:t>
                  </w:r>
                </w:p>
                <w:p w:rsidR="00EF76E4" w:rsidRDefault="00E42098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Work collaboratively </w:t>
                  </w:r>
                  <w:r w:rsidR="00EF76E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in groups and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discuss their summaries</w:t>
                  </w:r>
                </w:p>
                <w:p w:rsidR="00E42098" w:rsidRDefault="00E42098" w:rsidP="00E420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Present to the class (some students)</w:t>
                  </w:r>
                </w:p>
                <w:p w:rsidR="00E42098" w:rsidRPr="00E42098" w:rsidRDefault="007F3460" w:rsidP="00E420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Begin their readings of Chapters 17-20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6511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6A6511" w:rsidRDefault="006A6511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6A6511" w:rsidRDefault="006A651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6A6511" w:rsidRDefault="006A651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6A6511" w:rsidRPr="00E22384" w:rsidRDefault="006A651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6A6511" w:rsidRDefault="006A6511" w:rsidP="00A24207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work on one of their ongoing projects</w:t>
                  </w:r>
                </w:p>
                <w:p w:rsidR="006A6511" w:rsidRDefault="006A6511" w:rsidP="00A24207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Teacher will direct the pace of the group discussion</w:t>
                  </w:r>
                </w:p>
                <w:p w:rsidR="006A6511" w:rsidRDefault="006A6511" w:rsidP="00A24207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If students have any questions, they can ask them at any point in the lesson</w:t>
                  </w:r>
                </w:p>
                <w:p w:rsidR="006A6511" w:rsidRPr="0003152B" w:rsidRDefault="006A6511" w:rsidP="007F346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with ass</w:t>
                  </w:r>
                  <w:r w:rsidR="007F34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istive technology will not need to use it for this lesson since it will mostly be group discussion</w:t>
                  </w:r>
                </w:p>
              </w:tc>
            </w:tr>
            <w:tr w:rsidR="006A6511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6A6511" w:rsidRPr="004E50F4" w:rsidRDefault="006A6511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6A6511" w:rsidRDefault="006A651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6A6511" w:rsidRPr="0003152B" w:rsidRDefault="006A651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6A6511" w:rsidRDefault="006A6511" w:rsidP="00A24207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will be </w:t>
                  </w:r>
                  <w:r w:rsidR="007F34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working in groups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, and helping each other out.</w:t>
                  </w:r>
                </w:p>
                <w:p w:rsidR="006A6511" w:rsidRPr="0003152B" w:rsidRDefault="006A6511" w:rsidP="007F346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Distracting students may be asked to move, or </w:t>
                  </w:r>
                  <w:r w:rsidR="007F34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switch groups</w:t>
                  </w:r>
                </w:p>
              </w:tc>
            </w:tr>
            <w:tr w:rsidR="006A6511" w:rsidRPr="004E50F4" w:rsidTr="007F3460">
              <w:trPr>
                <w:trHeight w:val="1178"/>
              </w:trPr>
              <w:tc>
                <w:tcPr>
                  <w:tcW w:w="4764" w:type="dxa"/>
                </w:tcPr>
                <w:p w:rsidR="006A6511" w:rsidRPr="004E50F4" w:rsidRDefault="006A6511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6A6511" w:rsidRPr="00FA6B40" w:rsidRDefault="006A651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6A6511" w:rsidRPr="0003152B" w:rsidRDefault="006A651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6A6511" w:rsidRPr="00E22384" w:rsidRDefault="006A6511" w:rsidP="00A24207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6A6511" w:rsidRPr="0003152B" w:rsidRDefault="006A6511" w:rsidP="007F3460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for the student with the mobility issue, </w:t>
                  </w:r>
                  <w:r w:rsidR="007F34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their group can meet around her table</w:t>
                  </w:r>
                </w:p>
              </w:tc>
            </w:tr>
            <w:tr w:rsidR="006A6511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6A6511" w:rsidRPr="004E50F4" w:rsidRDefault="006A6511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6A6511" w:rsidRDefault="006A6511" w:rsidP="00E4209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6A6511" w:rsidRPr="004E50F4" w:rsidRDefault="006A6511" w:rsidP="00E42098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6A6511" w:rsidRDefault="006A6511" w:rsidP="00A24207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since there are no language issues in this class, there will be no need for modification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03152B" w:rsidRDefault="0003152B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66248" w:rsidRDefault="007F3460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Teacher will write on board the “Think About It” before class begins</w:t>
            </w:r>
          </w:p>
          <w:p w:rsidR="00483405" w:rsidRDefault="00483405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teacher will hand back, and take up the quiz and tell students to make corrections</w:t>
            </w:r>
          </w:p>
          <w:p w:rsidR="00483405" w:rsidRDefault="00483405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copy a note from the overhead projector</w:t>
            </w:r>
          </w:p>
          <w:p w:rsidR="007F3460" w:rsidRDefault="007F3460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Groups will be decided by the teacher (students will be numbered 1-5, with all the 1’s being in a group, etc)</w:t>
            </w:r>
          </w:p>
          <w:p w:rsidR="007F3460" w:rsidRDefault="007F3460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told how long they have so that they stay on task</w:t>
            </w:r>
          </w:p>
          <w:p w:rsidR="00166248" w:rsidRDefault="007F346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“thumbs up, thumbs down” will allow the teacher to get a better understanding of how much time the students need to complete the task.</w:t>
            </w:r>
          </w:p>
          <w:p w:rsidR="007F3460" w:rsidRDefault="007F346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When presenting, teacher will pick random numbers for the order of group presentations</w:t>
            </w:r>
          </w:p>
          <w:p w:rsidR="007F3460" w:rsidRDefault="007F346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students will be asked to return to their seats</w:t>
            </w:r>
          </w:p>
          <w:p w:rsidR="007F3460" w:rsidRDefault="007F346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When the students are seated, students will be asked to take out their Pinballs novels</w:t>
            </w:r>
          </w:p>
          <w:p w:rsidR="007F3460" w:rsidRDefault="007F346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chosen as characters, and asked to read the story as a class</w:t>
            </w:r>
          </w:p>
          <w:p w:rsidR="007F3460" w:rsidRPr="004E50F4" w:rsidRDefault="00221C10" w:rsidP="007F346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 the end of class, they will be asked to put their English away, and get ready for math/ science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7351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5F20D6">
              <w:rPr>
                <w:rFonts w:asciiTheme="minorHAnsi" w:hAnsiTheme="minorHAnsi" w:cstheme="minorHAnsi"/>
                <w:sz w:val="22"/>
                <w:szCs w:val="22"/>
              </w:rPr>
              <w:t>quiz corrections</w:t>
            </w:r>
          </w:p>
          <w:p w:rsidR="005F20D6" w:rsidRDefault="005F20D6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-summary discussion</w:t>
            </w:r>
          </w:p>
          <w:p w:rsidR="00221C10" w:rsidRDefault="00221C10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-summary presentation</w:t>
            </w:r>
          </w:p>
          <w:p w:rsidR="0003152B" w:rsidRPr="004E50F4" w:rsidRDefault="00221C10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-Pinballs reading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7351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21C10">
              <w:rPr>
                <w:rFonts w:asciiTheme="minorHAnsi" w:hAnsiTheme="minorHAnsi" w:cstheme="minorHAnsi"/>
                <w:sz w:val="22"/>
                <w:szCs w:val="22"/>
              </w:rPr>
              <w:t>quiz marking guide</w:t>
            </w:r>
          </w:p>
          <w:p w:rsidR="00483405" w:rsidRDefault="00483405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-overhead projector + screen</w:t>
            </w:r>
          </w:p>
          <w:p w:rsidR="0003152B" w:rsidRDefault="00221C10" w:rsidP="00221C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-Pinballs novel (class set) – students have these</w:t>
            </w:r>
          </w:p>
          <w:p w:rsidR="00D630B7" w:rsidRPr="004E50F4" w:rsidRDefault="00D630B7" w:rsidP="00221C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-10 copies of the overhead (for students with assistive technology)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4E50F4" w:rsidTr="00F76B44">
        <w:tc>
          <w:tcPr>
            <w:tcW w:w="82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F76B44">
        <w:tc>
          <w:tcPr>
            <w:tcW w:w="82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D837AF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  <w:p w:rsidR="00311A04" w:rsidRPr="004E50F4" w:rsidRDefault="00311A04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7560" w:type="dxa"/>
          </w:tcPr>
          <w:p w:rsidR="0002166E" w:rsidRPr="005F20D6" w:rsidRDefault="0002166E" w:rsidP="0002166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b/>
                <w:sz w:val="22"/>
                <w:szCs w:val="22"/>
              </w:rPr>
              <w:t>Beginning of class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What starts with a P, ends with an E, and has a million letters in it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-post office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b/>
                <w:sz w:val="22"/>
                <w:szCs w:val="22"/>
              </w:rPr>
              <w:t>Extra (if time permits)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What starts with an E, ends with an E, and has only one letter in it?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-envelope</w:t>
            </w:r>
          </w:p>
          <w:p w:rsidR="0002166E" w:rsidRPr="005F20D6" w:rsidRDefault="0002166E" w:rsidP="0002166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311A04" w:rsidRPr="005F20D6" w:rsidRDefault="0002166E" w:rsidP="0002166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i/>
                <w:sz w:val="22"/>
                <w:szCs w:val="22"/>
              </w:rPr>
              <w:t>http://www.c-english.com/files/scans/06myc_echallenge_sgreig.pdf</w:t>
            </w:r>
          </w:p>
        </w:tc>
      </w:tr>
      <w:tr w:rsidR="00E34E2B" w:rsidRPr="004E50F4" w:rsidTr="0017351B">
        <w:trPr>
          <w:trHeight w:val="557"/>
        </w:trPr>
        <w:tc>
          <w:tcPr>
            <w:tcW w:w="828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  <w:p w:rsidR="00D837AF" w:rsidRPr="004E50F4" w:rsidRDefault="005F20D6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(10</w:t>
            </w:r>
            <w:r w:rsidR="00ED6E3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min)</w:t>
            </w:r>
          </w:p>
        </w:tc>
        <w:tc>
          <w:tcPr>
            <w:tcW w:w="7560" w:type="dxa"/>
          </w:tcPr>
          <w:p w:rsidR="00EC298E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-take up quiz with students</w:t>
            </w:r>
          </w:p>
          <w:p w:rsidR="005F20D6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-tell students what points the teacher was looking for when marking</w:t>
            </w:r>
          </w:p>
          <w:p w:rsid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-make sure students are writing down the corrections</w:t>
            </w:r>
          </w:p>
          <w:p w:rsidR="00483405" w:rsidRDefault="0048340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83405" w:rsidRDefault="0048340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-put note on overhead projector</w:t>
            </w:r>
          </w:p>
          <w:p w:rsidR="00483405" w:rsidRPr="005F20D6" w:rsidRDefault="0048340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-have students copy note into Pinballs notebook</w:t>
            </w:r>
          </w:p>
        </w:tc>
      </w:tr>
      <w:tr w:rsidR="00E34E2B" w:rsidRPr="004E50F4" w:rsidTr="00FE4304">
        <w:trPr>
          <w:trHeight w:val="440"/>
        </w:trPr>
        <w:tc>
          <w:tcPr>
            <w:tcW w:w="828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  <w:p w:rsidR="00D837AF" w:rsidRPr="004E50F4" w:rsidRDefault="00ED6E3C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5F20D6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min for quiz)</w:t>
            </w:r>
          </w:p>
        </w:tc>
        <w:tc>
          <w:tcPr>
            <w:tcW w:w="7560" w:type="dxa"/>
          </w:tcPr>
          <w:p w:rsidR="00EC298E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-have students form groups (5 groups of 5)</w:t>
            </w:r>
          </w:p>
          <w:p w:rsidR="005F20D6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-in groups, have students each read their summary</w:t>
            </w:r>
          </w:p>
          <w:p w:rsidR="005F20D6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-decide as a group which summary they feel is the best</w:t>
            </w:r>
          </w:p>
          <w:p w:rsidR="005F20D6" w:rsidRPr="005F20D6" w:rsidRDefault="005F20D6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-have a representative from the group read that summary to the rest of the class</w:t>
            </w:r>
          </w:p>
        </w:tc>
      </w:tr>
      <w:tr w:rsidR="0071471F" w:rsidRPr="004E50F4" w:rsidTr="0017351B">
        <w:trPr>
          <w:trHeight w:val="548"/>
        </w:trPr>
        <w:tc>
          <w:tcPr>
            <w:tcW w:w="828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  <w:p w:rsidR="0071471F" w:rsidRPr="004E50F4" w:rsidRDefault="0071471F" w:rsidP="0017351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5F20D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8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</w:t>
            </w:r>
            <w:r w:rsidR="0017351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7560" w:type="dxa"/>
          </w:tcPr>
          <w:p w:rsidR="005F20D6" w:rsidRDefault="005F20D6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-have students go back to their desks</w:t>
            </w:r>
          </w:p>
          <w:p w:rsidR="0071471F" w:rsidRPr="005F20D6" w:rsidRDefault="005F20D6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i/>
                <w:sz w:val="22"/>
                <w:szCs w:val="22"/>
              </w:rPr>
              <w:t>-start reading chapter 17 as a class</w:t>
            </w:r>
          </w:p>
        </w:tc>
      </w:tr>
      <w:tr w:rsidR="0071471F" w:rsidRPr="004E50F4" w:rsidTr="0071471F">
        <w:trPr>
          <w:trHeight w:val="620"/>
        </w:trPr>
        <w:tc>
          <w:tcPr>
            <w:tcW w:w="828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up</w:t>
            </w:r>
          </w:p>
          <w:p w:rsidR="0071471F" w:rsidRPr="004E50F4" w:rsidRDefault="005F20D6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(2</w:t>
            </w:r>
            <w:r w:rsidR="0071471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min)</w:t>
            </w:r>
          </w:p>
        </w:tc>
        <w:tc>
          <w:tcPr>
            <w:tcW w:w="7560" w:type="dxa"/>
          </w:tcPr>
          <w:p w:rsidR="006A6511" w:rsidRPr="005F20D6" w:rsidRDefault="005F20D6" w:rsidP="007147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0D6">
              <w:rPr>
                <w:rFonts w:asciiTheme="minorHAnsi" w:hAnsiTheme="minorHAnsi" w:cstheme="minorHAnsi"/>
                <w:sz w:val="22"/>
                <w:szCs w:val="22"/>
              </w:rPr>
              <w:t>-have students put away their things and get ready for science</w:t>
            </w:r>
          </w:p>
        </w:tc>
      </w:tr>
    </w:tbl>
    <w:p w:rsidR="008151BF" w:rsidRDefault="008151BF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3079E9" w:rsidRPr="004E50F4" w:rsidRDefault="003079E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7. Reflections:  To be completed after you have taught the lesson. </w:t>
      </w:r>
    </w:p>
    <w:p w:rsidR="0009416C" w:rsidRPr="004E50F4" w:rsidRDefault="0009416C" w:rsidP="00654DF0">
      <w:pPr>
        <w:rPr>
          <w:rFonts w:asciiTheme="minorHAnsi" w:hAnsiTheme="minorHAnsi" w:cstheme="minorHAnsi"/>
          <w:b/>
          <w:sz w:val="22"/>
          <w:szCs w:val="22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A24207" w:rsidP="00A242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Modifications</w:t>
            </w:r>
          </w:p>
        </w:tc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Sheets of the note were given to students who needed these modifications</w:t>
            </w:r>
          </w:p>
        </w:tc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 Grouping strategy didn’t work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Students with weaknesses ended up in the same group</w:t>
            </w:r>
          </w:p>
        </w:tc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Know the students in my class (this was the rotary class) and place accordingly)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A24207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students were engaged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3079E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All students were participating</w:t>
            </w:r>
          </w:p>
        </w:tc>
        <w:tc>
          <w:tcPr>
            <w:tcW w:w="3192" w:type="dxa"/>
          </w:tcPr>
          <w:p w:rsidR="00654DF0" w:rsidRPr="004E50F4" w:rsidRDefault="003079E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3B0E09" w:rsidRPr="003079E9" w:rsidRDefault="00CE3815" w:rsidP="003079E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079E9">
        <w:rPr>
          <w:rFonts w:asciiTheme="minorHAnsi" w:hAnsiTheme="minorHAnsi" w:cstheme="minorHAnsi"/>
          <w:b/>
          <w:sz w:val="22"/>
          <w:szCs w:val="22"/>
        </w:rPr>
        <w:t>Effectiveness as a Teacher:</w:t>
      </w:r>
      <w:r w:rsidR="0009416C" w:rsidRPr="003079E9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079E9" w:rsidRPr="003079E9" w:rsidRDefault="003079E9" w:rsidP="003079E9">
      <w:pPr>
        <w:pStyle w:val="ListParagraph"/>
        <w:ind w:left="36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choice of words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AT brought it up afterwards, and I realized as soon as I said them</w:t>
            </w: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Instead of saying positive, negative, use what was good, and what needs some work.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attention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felt I was doing a better job, but my AT still wants me to improve in this area</w:t>
            </w: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Tomorrow I am going to try a strategy that I didn’t try today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feeling more comfortable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am less nervous standing in front of the class</w:t>
            </w:r>
          </w:p>
        </w:tc>
        <w:tc>
          <w:tcPr>
            <w:tcW w:w="3192" w:type="dxa"/>
          </w:tcPr>
          <w:p w:rsidR="0009416C" w:rsidRPr="004E50F4" w:rsidRDefault="003079E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Keep teaching so that I am completely relaxed!</w:t>
            </w:r>
          </w:p>
        </w:tc>
      </w:tr>
    </w:tbl>
    <w:p w:rsidR="00ED6E3C" w:rsidRPr="00EF2E09" w:rsidRDefault="00ED6E3C" w:rsidP="00D77942">
      <w:pPr>
        <w:rPr>
          <w:rFonts w:asciiTheme="minorHAnsi" w:hAnsiTheme="minorHAnsi" w:cstheme="minorHAnsi"/>
          <w:sz w:val="28"/>
          <w:szCs w:val="28"/>
        </w:rPr>
      </w:pPr>
    </w:p>
    <w:sectPr w:rsidR="00ED6E3C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F4" w:rsidRDefault="008250F4" w:rsidP="001372DF">
      <w:r>
        <w:separator/>
      </w:r>
    </w:p>
  </w:endnote>
  <w:endnote w:type="continuationSeparator" w:id="0">
    <w:p w:rsidR="008250F4" w:rsidRDefault="008250F4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07" w:rsidRPr="001372DF" w:rsidRDefault="00A24207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>– Descriptive Paragraph</w:t>
    </w:r>
    <w:r w:rsidRPr="001372DF">
      <w:rPr>
        <w:rFonts w:asciiTheme="minorHAnsi" w:hAnsiTheme="minorHAnsi"/>
        <w:sz w:val="22"/>
        <w:szCs w:val="22"/>
      </w:rPr>
      <w:tab/>
    </w:r>
    <w:r>
      <w:rPr>
        <w:rFonts w:asciiTheme="minorHAnsi" w:hAnsiTheme="minorHAnsi"/>
        <w:sz w:val="22"/>
        <w:szCs w:val="22"/>
      </w:rPr>
      <w:t xml:space="preserve">           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Pr="001372DF">
      <w:rPr>
        <w:rFonts w:asciiTheme="minorHAnsi" w:hAnsiTheme="minorHAnsi"/>
        <w:sz w:val="22"/>
        <w:szCs w:val="22"/>
      </w:rPr>
      <w:fldChar w:fldCharType="separate"/>
    </w:r>
    <w:r w:rsidR="003079E9" w:rsidRPr="003079E9">
      <w:rPr>
        <w:rFonts w:asciiTheme="minorHAnsi" w:hAnsiTheme="minorHAnsi"/>
        <w:b/>
        <w:noProof/>
        <w:sz w:val="22"/>
        <w:szCs w:val="22"/>
      </w:rPr>
      <w:t>1</w:t>
    </w:r>
    <w:r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F4" w:rsidRDefault="008250F4" w:rsidP="001372DF">
      <w:r>
        <w:separator/>
      </w:r>
    </w:p>
  </w:footnote>
  <w:footnote w:type="continuationSeparator" w:id="0">
    <w:p w:rsidR="008250F4" w:rsidRDefault="008250F4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2166E"/>
    <w:rsid w:val="0003152B"/>
    <w:rsid w:val="000338FC"/>
    <w:rsid w:val="00046576"/>
    <w:rsid w:val="0009416C"/>
    <w:rsid w:val="000A378A"/>
    <w:rsid w:val="00106DD1"/>
    <w:rsid w:val="00127015"/>
    <w:rsid w:val="001361EC"/>
    <w:rsid w:val="001372DF"/>
    <w:rsid w:val="001568A0"/>
    <w:rsid w:val="00157B62"/>
    <w:rsid w:val="00166248"/>
    <w:rsid w:val="00172A0C"/>
    <w:rsid w:val="0017351B"/>
    <w:rsid w:val="00182C4D"/>
    <w:rsid w:val="001A12D9"/>
    <w:rsid w:val="001A758B"/>
    <w:rsid w:val="001D0C93"/>
    <w:rsid w:val="00221610"/>
    <w:rsid w:val="00221C10"/>
    <w:rsid w:val="002302C0"/>
    <w:rsid w:val="00231D53"/>
    <w:rsid w:val="00281F10"/>
    <w:rsid w:val="002A3DFC"/>
    <w:rsid w:val="003079E9"/>
    <w:rsid w:val="00311A04"/>
    <w:rsid w:val="00353992"/>
    <w:rsid w:val="00374106"/>
    <w:rsid w:val="00376B9C"/>
    <w:rsid w:val="003B0E09"/>
    <w:rsid w:val="003C27C7"/>
    <w:rsid w:val="003F670B"/>
    <w:rsid w:val="00466CE0"/>
    <w:rsid w:val="0047489F"/>
    <w:rsid w:val="00483405"/>
    <w:rsid w:val="004A5AD1"/>
    <w:rsid w:val="004E50F4"/>
    <w:rsid w:val="00505234"/>
    <w:rsid w:val="00523F10"/>
    <w:rsid w:val="00526C1D"/>
    <w:rsid w:val="0054163A"/>
    <w:rsid w:val="00542903"/>
    <w:rsid w:val="005672E4"/>
    <w:rsid w:val="00584704"/>
    <w:rsid w:val="005850E9"/>
    <w:rsid w:val="00597D5E"/>
    <w:rsid w:val="005C431D"/>
    <w:rsid w:val="005C5EAD"/>
    <w:rsid w:val="005F20D6"/>
    <w:rsid w:val="0062086F"/>
    <w:rsid w:val="00654DF0"/>
    <w:rsid w:val="00656054"/>
    <w:rsid w:val="00680D45"/>
    <w:rsid w:val="006A6511"/>
    <w:rsid w:val="006B0472"/>
    <w:rsid w:val="006E19EF"/>
    <w:rsid w:val="006F3AB1"/>
    <w:rsid w:val="0071471F"/>
    <w:rsid w:val="00732C87"/>
    <w:rsid w:val="00750C0A"/>
    <w:rsid w:val="00791BC2"/>
    <w:rsid w:val="007D60F4"/>
    <w:rsid w:val="007E4072"/>
    <w:rsid w:val="007F0BDE"/>
    <w:rsid w:val="007F3460"/>
    <w:rsid w:val="008151BF"/>
    <w:rsid w:val="008250F4"/>
    <w:rsid w:val="00831D7C"/>
    <w:rsid w:val="008370F7"/>
    <w:rsid w:val="008379A7"/>
    <w:rsid w:val="00872DA9"/>
    <w:rsid w:val="008747BD"/>
    <w:rsid w:val="008B1A99"/>
    <w:rsid w:val="008B279A"/>
    <w:rsid w:val="008B5560"/>
    <w:rsid w:val="008F4D93"/>
    <w:rsid w:val="00930A4C"/>
    <w:rsid w:val="00997DBB"/>
    <w:rsid w:val="009B6138"/>
    <w:rsid w:val="009E6CA1"/>
    <w:rsid w:val="00A24207"/>
    <w:rsid w:val="00A26827"/>
    <w:rsid w:val="00A5620A"/>
    <w:rsid w:val="00A64573"/>
    <w:rsid w:val="00A67B15"/>
    <w:rsid w:val="00A7732C"/>
    <w:rsid w:val="00A956A8"/>
    <w:rsid w:val="00AA4286"/>
    <w:rsid w:val="00AF3C7F"/>
    <w:rsid w:val="00AF4EC5"/>
    <w:rsid w:val="00B61E70"/>
    <w:rsid w:val="00B9686D"/>
    <w:rsid w:val="00BB5E1C"/>
    <w:rsid w:val="00BD3115"/>
    <w:rsid w:val="00BE4C50"/>
    <w:rsid w:val="00C335C5"/>
    <w:rsid w:val="00C4395D"/>
    <w:rsid w:val="00C73BC9"/>
    <w:rsid w:val="00CA3AC8"/>
    <w:rsid w:val="00CC368F"/>
    <w:rsid w:val="00CD0BB3"/>
    <w:rsid w:val="00CE3815"/>
    <w:rsid w:val="00D47538"/>
    <w:rsid w:val="00D479B2"/>
    <w:rsid w:val="00D532EE"/>
    <w:rsid w:val="00D55DAA"/>
    <w:rsid w:val="00D630B7"/>
    <w:rsid w:val="00D64DFB"/>
    <w:rsid w:val="00D77942"/>
    <w:rsid w:val="00D837AF"/>
    <w:rsid w:val="00D9571A"/>
    <w:rsid w:val="00DB56DD"/>
    <w:rsid w:val="00DC42F4"/>
    <w:rsid w:val="00DE7324"/>
    <w:rsid w:val="00E22384"/>
    <w:rsid w:val="00E34E2B"/>
    <w:rsid w:val="00E42098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EF76E4"/>
    <w:rsid w:val="00F227EA"/>
    <w:rsid w:val="00F532A0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BCC1-C427-404B-94D6-A8E28A57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7</cp:revision>
  <dcterms:created xsi:type="dcterms:W3CDTF">2010-10-19T23:11:00Z</dcterms:created>
  <dcterms:modified xsi:type="dcterms:W3CDTF">2010-10-20T20:25:00Z</dcterms:modified>
</cp:coreProperties>
</file>